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B0A6A" w14:textId="7688758E" w:rsidR="00A92964" w:rsidRDefault="00852E4A">
      <w:pPr>
        <w:rPr>
          <w:sz w:val="32"/>
          <w:szCs w:val="32"/>
        </w:rPr>
      </w:pPr>
      <w:r w:rsidRPr="00852E4A">
        <w:rPr>
          <w:sz w:val="32"/>
          <w:szCs w:val="32"/>
        </w:rPr>
        <w:t xml:space="preserve">Activité 2 </w:t>
      </w:r>
    </w:p>
    <w:p w14:paraId="6C12CA36" w14:textId="77777777" w:rsidR="00AF6117" w:rsidRDefault="00AF6117">
      <w:pPr>
        <w:rPr>
          <w:sz w:val="32"/>
          <w:szCs w:val="32"/>
        </w:rPr>
      </w:pPr>
    </w:p>
    <w:p w14:paraId="5C6A5695" w14:textId="5D4AA435" w:rsidR="00AF6117" w:rsidRPr="00947EAC" w:rsidRDefault="00AF6117" w:rsidP="00AF6117">
      <w:pPr>
        <w:rPr>
          <w:rFonts w:ascii="Arial" w:hAnsi="Arial" w:cs="Arial"/>
          <w:b/>
          <w:bCs/>
          <w:color w:val="000000" w:themeColor="text1"/>
          <w:sz w:val="28"/>
          <w:szCs w:val="28"/>
        </w:rPr>
      </w:pPr>
      <w:r w:rsidRPr="00947EAC">
        <w:rPr>
          <w:rFonts w:ascii="Arial" w:hAnsi="Arial" w:cs="Arial"/>
          <w:b/>
          <w:bCs/>
          <w:color w:val="000000" w:themeColor="text1"/>
          <w:sz w:val="28"/>
          <w:szCs w:val="28"/>
        </w:rPr>
        <w:t>Travail d’appropriation et de prolongement du cours</w:t>
      </w:r>
      <w:r w:rsidR="002D062A" w:rsidRPr="00947EAC">
        <w:rPr>
          <w:rFonts w:ascii="Arial" w:hAnsi="Arial" w:cs="Arial"/>
          <w:b/>
          <w:bCs/>
          <w:color w:val="000000" w:themeColor="text1"/>
          <w:sz w:val="28"/>
          <w:szCs w:val="28"/>
        </w:rPr>
        <w:t>.</w:t>
      </w:r>
      <w:r w:rsidR="00947EAC">
        <w:rPr>
          <w:rFonts w:ascii="Arial" w:hAnsi="Arial" w:cs="Arial"/>
          <w:b/>
          <w:bCs/>
          <w:color w:val="000000" w:themeColor="text1"/>
          <w:sz w:val="28"/>
          <w:szCs w:val="28"/>
        </w:rPr>
        <w:t xml:space="preserve"> </w:t>
      </w:r>
      <w:r w:rsidR="00947EAC">
        <w:rPr>
          <w:rFonts w:ascii="Arial" w:hAnsi="Arial" w:cs="Arial"/>
          <w:b/>
          <w:bCs/>
          <w:color w:val="000000" w:themeColor="text1"/>
          <w:sz w:val="28"/>
          <w:szCs w:val="28"/>
          <w:highlight w:val="cyan"/>
        </w:rPr>
        <w:t>2</w:t>
      </w:r>
      <w:r w:rsidR="00947EAC" w:rsidRPr="00947EAC">
        <w:rPr>
          <w:rFonts w:ascii="Arial" w:hAnsi="Arial" w:cs="Arial"/>
          <w:b/>
          <w:bCs/>
          <w:color w:val="000000" w:themeColor="text1"/>
          <w:sz w:val="28"/>
          <w:szCs w:val="28"/>
          <w:highlight w:val="cyan"/>
        </w:rPr>
        <w:t>0’</w:t>
      </w:r>
    </w:p>
    <w:p w14:paraId="690208CC" w14:textId="188D22A7" w:rsidR="00AF6117" w:rsidRDefault="00AF6117">
      <w:pPr>
        <w:rPr>
          <w:sz w:val="32"/>
          <w:szCs w:val="32"/>
        </w:rPr>
      </w:pPr>
    </w:p>
    <w:p w14:paraId="454605F0" w14:textId="77777777" w:rsidR="00AF6117" w:rsidRPr="00DF2967" w:rsidRDefault="00AF6117" w:rsidP="00AF6117">
      <w:pPr>
        <w:spacing w:line="276" w:lineRule="auto"/>
        <w:ind w:firstLine="708"/>
        <w:jc w:val="both"/>
        <w:rPr>
          <w:rFonts w:ascii="Garamond" w:hAnsi="Garamond"/>
          <w:color w:val="4472C4" w:themeColor="accent1"/>
        </w:rPr>
      </w:pPr>
      <w:r w:rsidRPr="00DF2967">
        <w:rPr>
          <w:rFonts w:ascii="Garamond" w:hAnsi="Garamond"/>
          <w:color w:val="4472C4" w:themeColor="accent1"/>
        </w:rPr>
        <w:t>« Que la liberté́ de notre volonté́ se connaît sans preuve, par la seule expérience</w:t>
      </w:r>
      <w:r w:rsidRPr="00DF2967">
        <w:rPr>
          <w:rFonts w:ascii="Garamond" w:hAnsi="Garamond"/>
          <w:color w:val="4472C4" w:themeColor="accent1"/>
        </w:rPr>
        <w:br/>
        <w:t>que nous en avons.</w:t>
      </w:r>
    </w:p>
    <w:p w14:paraId="4A5F64BB" w14:textId="1D284FAF" w:rsidR="00852E4A" w:rsidRDefault="00AF6117" w:rsidP="00947EAC">
      <w:pPr>
        <w:spacing w:line="276" w:lineRule="auto"/>
        <w:ind w:firstLine="708"/>
        <w:jc w:val="both"/>
        <w:rPr>
          <w:rFonts w:ascii="Garamond" w:hAnsi="Garamond"/>
          <w:color w:val="4472C4" w:themeColor="accent1"/>
        </w:rPr>
      </w:pPr>
      <w:r w:rsidRPr="00DF2967">
        <w:rPr>
          <w:rFonts w:ascii="Garamond" w:hAnsi="Garamond"/>
          <w:color w:val="4472C4" w:themeColor="accent1"/>
        </w:rPr>
        <w:t>Au reste</w:t>
      </w:r>
      <w:r>
        <w:rPr>
          <w:rFonts w:ascii="Garamond" w:hAnsi="Garamond"/>
          <w:color w:val="4472C4" w:themeColor="accent1"/>
        </w:rPr>
        <w:t>,</w:t>
      </w:r>
      <w:r w:rsidRPr="00DF2967">
        <w:rPr>
          <w:rFonts w:ascii="Garamond" w:hAnsi="Garamond"/>
          <w:color w:val="4472C4" w:themeColor="accent1"/>
        </w:rPr>
        <w:t xml:space="preserve"> il est si évident que nous avons une volonté́ libre, qui peut donner son consentement ou ne le pas donner quand bon lui semble, que cela peut être compté pour une de nos plus communes notions. Nous en avons eu (…) une preuve bien claire ; car, au même temps que nous doutions de tout, (…) nous apercevions en nous une liberté́ si grande, que nous pouvions nous empêcher de croire ce que nous ne connaissions pas encore parfaitement bien. » Descartes (1596-1650), </w:t>
      </w:r>
      <w:r w:rsidRPr="00DF2967">
        <w:rPr>
          <w:rFonts w:ascii="Garamond" w:hAnsi="Garamond"/>
          <w:i/>
          <w:iCs/>
          <w:color w:val="4472C4" w:themeColor="accent1"/>
        </w:rPr>
        <w:t>Principes de la philosophie (1644)</w:t>
      </w:r>
      <w:r w:rsidRPr="00DF2967">
        <w:rPr>
          <w:rFonts w:ascii="Garamond" w:hAnsi="Garamond"/>
          <w:color w:val="4472C4" w:themeColor="accent1"/>
        </w:rPr>
        <w:t>, § 39</w:t>
      </w:r>
    </w:p>
    <w:p w14:paraId="28723A67" w14:textId="41373F62" w:rsidR="00852E4A" w:rsidRDefault="00852E4A" w:rsidP="00852E4A">
      <w:pPr>
        <w:rPr>
          <w:rFonts w:ascii="Garamond" w:hAnsi="Garamond"/>
          <w:color w:val="000000" w:themeColor="text1"/>
        </w:rPr>
      </w:pPr>
    </w:p>
    <w:p w14:paraId="2625994F" w14:textId="715E5443" w:rsidR="00852E4A" w:rsidRDefault="00852E4A" w:rsidP="00852E4A">
      <w:pPr>
        <w:rPr>
          <w:rFonts w:ascii="Garamond" w:hAnsi="Garamond"/>
          <w:color w:val="000000" w:themeColor="text1"/>
        </w:rPr>
      </w:pPr>
      <w:r>
        <w:rPr>
          <w:rFonts w:ascii="Garamond" w:hAnsi="Garamond"/>
          <w:color w:val="000000" w:themeColor="text1"/>
        </w:rPr>
        <w:tab/>
      </w:r>
      <w:hyperlink r:id="rId5" w:history="1">
        <w:r w:rsidRPr="00852E4A">
          <w:rPr>
            <w:rStyle w:val="Lienhypertexte"/>
            <w:rFonts w:ascii="Garamond" w:hAnsi="Garamond"/>
          </w:rPr>
          <w:t>Lien vers le fichier audio (texte lu)</w:t>
        </w:r>
      </w:hyperlink>
    </w:p>
    <w:p w14:paraId="4AD38A32" w14:textId="7490240A" w:rsidR="002D062A" w:rsidRPr="002D062A" w:rsidRDefault="002D062A" w:rsidP="002D062A">
      <w:pPr>
        <w:pStyle w:val="Paragraphedeliste"/>
        <w:numPr>
          <w:ilvl w:val="0"/>
          <w:numId w:val="3"/>
        </w:numPr>
        <w:rPr>
          <w:rFonts w:ascii="Garamond" w:hAnsi="Garamond"/>
          <w:color w:val="000000" w:themeColor="text1"/>
        </w:rPr>
      </w:pPr>
      <w:r w:rsidRPr="002D062A">
        <w:rPr>
          <w:rFonts w:ascii="Garamond" w:hAnsi="Garamond"/>
          <w:color w:val="000000" w:themeColor="text1"/>
        </w:rPr>
        <w:t>Bien relire le cours précédent.</w:t>
      </w:r>
    </w:p>
    <w:p w14:paraId="6D9C8E3A" w14:textId="2A09287B" w:rsidR="00852E4A" w:rsidRDefault="00852E4A" w:rsidP="00852E4A">
      <w:pPr>
        <w:rPr>
          <w:rFonts w:ascii="Garamond" w:hAnsi="Garamond"/>
          <w:color w:val="000000" w:themeColor="text1"/>
        </w:rPr>
      </w:pPr>
    </w:p>
    <w:p w14:paraId="7EC6F136" w14:textId="474C573F" w:rsidR="00AF6117" w:rsidRDefault="004910EF" w:rsidP="00852E4A">
      <w:pPr>
        <w:rPr>
          <w:rFonts w:ascii="Garamond" w:hAnsi="Garamond"/>
          <w:color w:val="000000" w:themeColor="text1"/>
        </w:rPr>
      </w:pPr>
      <w:r>
        <w:rPr>
          <w:rFonts w:ascii="Garamond" w:hAnsi="Garamond"/>
          <w:color w:val="000000" w:themeColor="text1"/>
        </w:rPr>
        <w:tab/>
        <w:t xml:space="preserve">Lien vers une vidéo </w:t>
      </w:r>
      <w:r w:rsidR="002D062A">
        <w:rPr>
          <w:rFonts w:ascii="Garamond" w:hAnsi="Garamond"/>
          <w:color w:val="000000" w:themeColor="text1"/>
        </w:rPr>
        <w:t xml:space="preserve">de 5 minutes </w:t>
      </w:r>
      <w:r>
        <w:rPr>
          <w:rFonts w:ascii="Garamond" w:hAnsi="Garamond"/>
          <w:color w:val="000000" w:themeColor="text1"/>
        </w:rPr>
        <w:t xml:space="preserve">sur les caractéristiques du doute cartésien : </w:t>
      </w:r>
      <w:r w:rsidR="00AF6117">
        <w:rPr>
          <w:rFonts w:ascii="Garamond" w:hAnsi="Garamond"/>
          <w:color w:val="000000" w:themeColor="text1"/>
        </w:rPr>
        <w:t xml:space="preserve">Prendre des notes dans votre </w:t>
      </w:r>
      <w:r w:rsidR="00AF6117" w:rsidRPr="00AF6117">
        <w:rPr>
          <w:rFonts w:ascii="Garamond" w:hAnsi="Garamond"/>
          <w:color w:val="000000" w:themeColor="text1"/>
          <w:highlight w:val="cyan"/>
        </w:rPr>
        <w:t>carnet de bord</w:t>
      </w:r>
      <w:r w:rsidR="00AF6117">
        <w:rPr>
          <w:rFonts w:ascii="Garamond" w:hAnsi="Garamond"/>
          <w:color w:val="000000" w:themeColor="text1"/>
        </w:rPr>
        <w:t xml:space="preserve"> </w:t>
      </w:r>
    </w:p>
    <w:p w14:paraId="41942C9B" w14:textId="601CB03F" w:rsidR="00852E4A" w:rsidRDefault="00AF6117" w:rsidP="00852E4A">
      <w:pPr>
        <w:rPr>
          <w:rFonts w:ascii="Garamond" w:hAnsi="Garamond"/>
          <w:color w:val="000000" w:themeColor="text1"/>
        </w:rPr>
      </w:pPr>
      <w:hyperlink r:id="rId6" w:history="1">
        <w:r w:rsidRPr="00C1480A">
          <w:rPr>
            <w:rStyle w:val="Lienhypertexte"/>
            <w:rFonts w:ascii="Garamond" w:hAnsi="Garamond"/>
          </w:rPr>
          <w:t>https://www.youtube.com/watch?v=Z5hcdL8k8Is</w:t>
        </w:r>
      </w:hyperlink>
    </w:p>
    <w:p w14:paraId="711479A9" w14:textId="16BADAFC" w:rsidR="00AF6117" w:rsidRDefault="00AF6117" w:rsidP="00852E4A">
      <w:pPr>
        <w:rPr>
          <w:rFonts w:ascii="Garamond" w:hAnsi="Garamond"/>
          <w:color w:val="000000" w:themeColor="text1"/>
        </w:rPr>
      </w:pPr>
      <w:r>
        <w:rPr>
          <w:rFonts w:ascii="Garamond" w:hAnsi="Garamond"/>
          <w:color w:val="000000" w:themeColor="text1"/>
        </w:rPr>
        <w:tab/>
        <w:t>Lien vers une vidéo de 6</w:t>
      </w:r>
      <w:r w:rsidR="002D062A">
        <w:rPr>
          <w:rFonts w:ascii="Garamond" w:hAnsi="Garamond"/>
          <w:color w:val="000000" w:themeColor="text1"/>
        </w:rPr>
        <w:t xml:space="preserve"> minutes </w:t>
      </w:r>
      <w:r>
        <w:rPr>
          <w:rFonts w:ascii="Garamond" w:hAnsi="Garamond"/>
          <w:color w:val="000000" w:themeColor="text1"/>
        </w:rPr>
        <w:t xml:space="preserve">sur la liberté chez Descartes : Prendre des notes dans votre </w:t>
      </w:r>
      <w:r w:rsidRPr="00AF6117">
        <w:rPr>
          <w:rFonts w:ascii="Garamond" w:hAnsi="Garamond"/>
          <w:color w:val="000000" w:themeColor="text1"/>
          <w:highlight w:val="cyan"/>
        </w:rPr>
        <w:t>carnet de bord</w:t>
      </w:r>
      <w:r>
        <w:rPr>
          <w:rFonts w:ascii="Garamond" w:hAnsi="Garamond"/>
          <w:color w:val="000000" w:themeColor="text1"/>
        </w:rPr>
        <w:t xml:space="preserve"> </w:t>
      </w:r>
    </w:p>
    <w:p w14:paraId="2A6BA590" w14:textId="626D0566" w:rsidR="00AF6117" w:rsidRDefault="00AF6117" w:rsidP="00852E4A">
      <w:pPr>
        <w:rPr>
          <w:rFonts w:ascii="Garamond" w:hAnsi="Garamond"/>
          <w:color w:val="000000" w:themeColor="text1"/>
        </w:rPr>
      </w:pPr>
      <w:hyperlink r:id="rId7" w:history="1">
        <w:r w:rsidRPr="00C1480A">
          <w:rPr>
            <w:rStyle w:val="Lienhypertexte"/>
            <w:rFonts w:ascii="Garamond" w:hAnsi="Garamond"/>
          </w:rPr>
          <w:t>https://www.youtube.com/watch?v=CwzUBROOMi4</w:t>
        </w:r>
      </w:hyperlink>
    </w:p>
    <w:p w14:paraId="0B7501AF" w14:textId="22CE5212" w:rsidR="002D062A" w:rsidRDefault="002D062A" w:rsidP="00852E4A">
      <w:pPr>
        <w:rPr>
          <w:rFonts w:ascii="Garamond" w:hAnsi="Garamond"/>
          <w:color w:val="000000" w:themeColor="text1"/>
        </w:rPr>
      </w:pPr>
    </w:p>
    <w:p w14:paraId="416F0A55" w14:textId="5BEC406F" w:rsidR="00AF6117" w:rsidRDefault="00AF6117" w:rsidP="00852E4A">
      <w:pPr>
        <w:rPr>
          <w:rFonts w:ascii="Garamond" w:hAnsi="Garamond"/>
          <w:color w:val="000000" w:themeColor="text1"/>
        </w:rPr>
      </w:pPr>
    </w:p>
    <w:p w14:paraId="1170CF33" w14:textId="5075B53C" w:rsidR="00AF6117" w:rsidRPr="00947EAC" w:rsidRDefault="00AF6117" w:rsidP="00852E4A">
      <w:pPr>
        <w:rPr>
          <w:rFonts w:ascii="Arial" w:hAnsi="Arial" w:cs="Arial"/>
          <w:b/>
          <w:bCs/>
          <w:color w:val="000000" w:themeColor="text1"/>
          <w:sz w:val="28"/>
          <w:szCs w:val="28"/>
        </w:rPr>
      </w:pPr>
      <w:r w:rsidRPr="00947EAC">
        <w:rPr>
          <w:rFonts w:ascii="Arial" w:hAnsi="Arial" w:cs="Arial"/>
          <w:b/>
          <w:bCs/>
          <w:color w:val="000000" w:themeColor="text1"/>
          <w:sz w:val="28"/>
          <w:szCs w:val="28"/>
        </w:rPr>
        <w:t>Travail de préparation du cours suivant</w:t>
      </w:r>
      <w:r w:rsidR="00947EAC">
        <w:rPr>
          <w:rFonts w:ascii="Arial" w:hAnsi="Arial" w:cs="Arial"/>
          <w:b/>
          <w:bCs/>
          <w:color w:val="000000" w:themeColor="text1"/>
          <w:sz w:val="28"/>
          <w:szCs w:val="28"/>
        </w:rPr>
        <w:t xml:space="preserve"> : </w:t>
      </w:r>
      <w:r w:rsidR="00947EAC" w:rsidRPr="00947EAC">
        <w:rPr>
          <w:rFonts w:ascii="Arial" w:hAnsi="Arial" w:cs="Arial"/>
          <w:b/>
          <w:bCs/>
          <w:color w:val="000000" w:themeColor="text1"/>
          <w:sz w:val="28"/>
          <w:szCs w:val="28"/>
          <w:highlight w:val="cyan"/>
        </w:rPr>
        <w:t>40’</w:t>
      </w:r>
    </w:p>
    <w:p w14:paraId="49D10409" w14:textId="77777777" w:rsidR="00947EAC" w:rsidRPr="002D062A" w:rsidRDefault="00947EAC" w:rsidP="00852E4A">
      <w:pPr>
        <w:rPr>
          <w:rFonts w:ascii="Garamond" w:hAnsi="Garamond"/>
          <w:b/>
          <w:bCs/>
          <w:color w:val="000000" w:themeColor="text1"/>
        </w:rPr>
      </w:pPr>
    </w:p>
    <w:p w14:paraId="4AB2EEDE" w14:textId="4D82A712" w:rsidR="00AF6117" w:rsidRDefault="00AF6117" w:rsidP="00852E4A">
      <w:pPr>
        <w:rPr>
          <w:rFonts w:ascii="Garamond" w:hAnsi="Garamond"/>
          <w:color w:val="000000" w:themeColor="text1"/>
        </w:rPr>
      </w:pPr>
    </w:p>
    <w:p w14:paraId="3E340389" w14:textId="4565949A" w:rsidR="00947EAC" w:rsidRDefault="00947EAC" w:rsidP="00947EAC">
      <w:pPr>
        <w:pStyle w:val="Paragraphedeliste"/>
        <w:numPr>
          <w:ilvl w:val="0"/>
          <w:numId w:val="3"/>
        </w:numPr>
      </w:pPr>
      <w:r>
        <w:t>Rédiger une transition</w:t>
      </w:r>
    </w:p>
    <w:p w14:paraId="6502B23B" w14:textId="77777777" w:rsidR="00947EAC" w:rsidRDefault="00947EAC" w:rsidP="00947EAC">
      <w:pPr>
        <w:pStyle w:val="Paragraphedeliste"/>
        <w:ind w:left="1432"/>
      </w:pPr>
    </w:p>
    <w:p w14:paraId="19DB4BCD" w14:textId="3A060BC9" w:rsidR="00AF6117" w:rsidRPr="00947EAC" w:rsidRDefault="00AF6117" w:rsidP="00852E4A">
      <w:pPr>
        <w:pStyle w:val="Paragraphedeliste"/>
        <w:numPr>
          <w:ilvl w:val="0"/>
          <w:numId w:val="3"/>
        </w:numPr>
      </w:pPr>
      <w:r>
        <w:t xml:space="preserve">Vous rédigerez </w:t>
      </w:r>
      <w:r w:rsidR="002D062A">
        <w:t xml:space="preserve">dans </w:t>
      </w:r>
      <w:r w:rsidR="002D062A" w:rsidRPr="00947EAC">
        <w:rPr>
          <w:highlight w:val="cyan"/>
        </w:rPr>
        <w:t>votre carnet de bord</w:t>
      </w:r>
      <w:r w:rsidR="002D062A">
        <w:t xml:space="preserve"> </w:t>
      </w:r>
      <w:r>
        <w:t>la transition permettant de passer de cette première partie à la partie suivante</w:t>
      </w:r>
      <w:r w:rsidR="002D062A">
        <w:t>, dont le titre est : « </w:t>
      </w:r>
      <w:r w:rsidR="002D062A" w:rsidRPr="002D062A">
        <w:t>Mais, la conscience de notre liberté est source d’illusion, car le libre arbitre n’est que l’ignorance des vraies causes qui nous poussent à agir. (La critique de la thèse du libre arbitre)</w:t>
      </w:r>
      <w:r w:rsidR="002D062A">
        <w:t> »</w:t>
      </w:r>
    </w:p>
    <w:p w14:paraId="28503103" w14:textId="5806D9B8" w:rsidR="00AF6117" w:rsidRDefault="00AF6117" w:rsidP="00852E4A">
      <w:pPr>
        <w:rPr>
          <w:rFonts w:ascii="Garamond" w:hAnsi="Garamond"/>
          <w:color w:val="000000" w:themeColor="text1"/>
        </w:rPr>
      </w:pPr>
      <w:r>
        <w:rPr>
          <w:rFonts w:ascii="Garamond" w:hAnsi="Garamond"/>
          <w:color w:val="000000" w:themeColor="text1"/>
        </w:rPr>
        <w:t xml:space="preserve"> </w:t>
      </w:r>
    </w:p>
    <w:tbl>
      <w:tblPr>
        <w:tblW w:w="9732"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2"/>
      </w:tblGrid>
      <w:tr w:rsidR="00AF6117" w14:paraId="37418764" w14:textId="77777777" w:rsidTr="002D062A">
        <w:tblPrEx>
          <w:tblCellMar>
            <w:top w:w="0" w:type="dxa"/>
            <w:bottom w:w="0" w:type="dxa"/>
          </w:tblCellMar>
        </w:tblPrEx>
        <w:trPr>
          <w:trHeight w:val="2013"/>
        </w:trPr>
        <w:tc>
          <w:tcPr>
            <w:tcW w:w="9732" w:type="dxa"/>
          </w:tcPr>
          <w:p w14:paraId="413E50F9" w14:textId="77777777" w:rsidR="002D062A" w:rsidRDefault="002D062A" w:rsidP="00AF6117">
            <w:pPr>
              <w:pStyle w:val="NormalWeb"/>
              <w:ind w:left="357"/>
              <w:rPr>
                <w:rFonts w:ascii="Calibri" w:hAnsi="Calibri" w:cs="Calibri"/>
                <w:b/>
                <w:bCs/>
                <w:i/>
                <w:iCs/>
                <w:color w:val="4270C1"/>
                <w:sz w:val="22"/>
                <w:szCs w:val="22"/>
              </w:rPr>
            </w:pPr>
          </w:p>
          <w:p w14:paraId="2C76007A" w14:textId="33B4FC42" w:rsidR="00AF6117" w:rsidRDefault="00AF6117" w:rsidP="00AF6117">
            <w:pPr>
              <w:pStyle w:val="NormalWeb"/>
              <w:ind w:left="357"/>
            </w:pPr>
            <w:proofErr w:type="spellStart"/>
            <w:r>
              <w:rPr>
                <w:rFonts w:ascii="Calibri" w:hAnsi="Calibri" w:cs="Calibri"/>
                <w:b/>
                <w:bCs/>
                <w:i/>
                <w:iCs/>
                <w:color w:val="4270C1"/>
                <w:sz w:val="22"/>
                <w:szCs w:val="22"/>
              </w:rPr>
              <w:t>Méthodologie</w:t>
            </w:r>
            <w:proofErr w:type="spellEnd"/>
            <w:r>
              <w:rPr>
                <w:rFonts w:ascii="Calibri" w:hAnsi="Calibri" w:cs="Calibri"/>
                <w:b/>
                <w:bCs/>
                <w:i/>
                <w:iCs/>
                <w:color w:val="4270C1"/>
                <w:sz w:val="22"/>
                <w:szCs w:val="22"/>
              </w:rPr>
              <w:t xml:space="preserve"> - l’objectif de la transition est double : </w:t>
            </w:r>
          </w:p>
          <w:p w14:paraId="45FD119A" w14:textId="67E8A755" w:rsidR="00AF6117" w:rsidRDefault="00AF6117" w:rsidP="00AF6117">
            <w:pPr>
              <w:pStyle w:val="NormalWeb"/>
              <w:numPr>
                <w:ilvl w:val="0"/>
                <w:numId w:val="1"/>
              </w:numPr>
              <w:ind w:left="1077"/>
            </w:pPr>
            <w:r>
              <w:rPr>
                <w:rFonts w:ascii="Calibri" w:hAnsi="Calibri" w:cs="Calibri"/>
                <w:color w:val="4270C1"/>
                <w:sz w:val="22"/>
                <w:szCs w:val="22"/>
              </w:rPr>
              <w:t>- </w:t>
            </w:r>
            <w:proofErr w:type="spellStart"/>
            <w:r>
              <w:rPr>
                <w:rFonts w:ascii="Calibri" w:hAnsi="Calibri" w:cs="Calibri"/>
                <w:b/>
                <w:bCs/>
                <w:i/>
                <w:iCs/>
                <w:color w:val="4270C1"/>
                <w:sz w:val="22"/>
                <w:szCs w:val="22"/>
              </w:rPr>
              <w:t>Résumer</w:t>
            </w:r>
            <w:proofErr w:type="spellEnd"/>
            <w:r>
              <w:rPr>
                <w:rFonts w:ascii="Calibri" w:hAnsi="Calibri" w:cs="Calibri"/>
                <w:b/>
                <w:bCs/>
                <w:i/>
                <w:iCs/>
                <w:color w:val="4270C1"/>
                <w:sz w:val="22"/>
                <w:szCs w:val="22"/>
              </w:rPr>
              <w:t xml:space="preserve"> les principaux acquis de la partie qui vient de s’achever ; </w:t>
            </w:r>
          </w:p>
          <w:p w14:paraId="429A3A3B" w14:textId="346B61F6" w:rsidR="00AF6117" w:rsidRDefault="00AF6117" w:rsidP="00AF6117">
            <w:pPr>
              <w:pStyle w:val="NormalWeb"/>
              <w:numPr>
                <w:ilvl w:val="0"/>
                <w:numId w:val="1"/>
              </w:numPr>
              <w:ind w:left="1077"/>
            </w:pPr>
            <w:r>
              <w:rPr>
                <w:rFonts w:ascii="Calibri" w:hAnsi="Calibri" w:cs="Calibri"/>
                <w:color w:val="4270C1"/>
                <w:sz w:val="22"/>
                <w:szCs w:val="22"/>
              </w:rPr>
              <w:t>-</w:t>
            </w:r>
            <w:r>
              <w:rPr>
                <w:rFonts w:ascii="Calibri" w:hAnsi="Calibri" w:cs="Calibri"/>
                <w:b/>
                <w:bCs/>
                <w:i/>
                <w:iCs/>
                <w:color w:val="4270C1"/>
                <w:sz w:val="22"/>
                <w:szCs w:val="22"/>
              </w:rPr>
              <w:t xml:space="preserve">Mais aussi en montrer les limites et les insuffisances, pour montrer la </w:t>
            </w:r>
            <w:proofErr w:type="spellStart"/>
            <w:r>
              <w:rPr>
                <w:rFonts w:ascii="Calibri" w:hAnsi="Calibri" w:cs="Calibri"/>
                <w:b/>
                <w:bCs/>
                <w:i/>
                <w:iCs/>
                <w:color w:val="4270C1"/>
                <w:sz w:val="22"/>
                <w:szCs w:val="22"/>
              </w:rPr>
              <w:t>nécessite</w:t>
            </w:r>
            <w:proofErr w:type="spellEnd"/>
            <w:r>
              <w:rPr>
                <w:rFonts w:ascii="Calibri" w:hAnsi="Calibri" w:cs="Calibri"/>
                <w:b/>
                <w:bCs/>
                <w:i/>
                <w:iCs/>
                <w:color w:val="4270C1"/>
                <w:sz w:val="22"/>
                <w:szCs w:val="22"/>
              </w:rPr>
              <w:t>́ d’explorer</w:t>
            </w:r>
            <w:r>
              <w:rPr>
                <w:rFonts w:ascii="Calibri" w:hAnsi="Calibri" w:cs="Calibri"/>
                <w:b/>
                <w:bCs/>
                <w:i/>
                <w:iCs/>
                <w:color w:val="4270C1"/>
                <w:sz w:val="22"/>
                <w:szCs w:val="22"/>
              </w:rPr>
              <w:t xml:space="preserve"> </w:t>
            </w:r>
            <w:r w:rsidRPr="00AF6117">
              <w:rPr>
                <w:rFonts w:ascii="Calibri" w:hAnsi="Calibri" w:cs="Calibri"/>
                <w:b/>
                <w:bCs/>
                <w:i/>
                <w:iCs/>
                <w:color w:val="4270C1"/>
                <w:sz w:val="22"/>
                <w:szCs w:val="22"/>
              </w:rPr>
              <w:t xml:space="preserve">une nouvelle piste. </w:t>
            </w:r>
          </w:p>
          <w:p w14:paraId="162C2985" w14:textId="77777777" w:rsidR="00AF6117" w:rsidRDefault="00AF6117" w:rsidP="00AF6117">
            <w:pPr>
              <w:pStyle w:val="NormalWeb"/>
              <w:ind w:left="357"/>
              <w:rPr>
                <w:rFonts w:ascii="Calibri" w:hAnsi="Calibri" w:cs="Calibri"/>
                <w:b/>
                <w:bCs/>
                <w:i/>
                <w:iCs/>
                <w:color w:val="4270C1"/>
                <w:sz w:val="22"/>
                <w:szCs w:val="22"/>
              </w:rPr>
            </w:pPr>
          </w:p>
        </w:tc>
      </w:tr>
    </w:tbl>
    <w:p w14:paraId="74CCEC99" w14:textId="77777777" w:rsidR="00D865CE" w:rsidRDefault="00AF6117" w:rsidP="00852E4A">
      <w:pPr>
        <w:rPr>
          <w:rFonts w:ascii="Garamond" w:hAnsi="Garamond"/>
          <w:color w:val="000000" w:themeColor="text1"/>
        </w:rPr>
      </w:pPr>
      <w:r>
        <w:rPr>
          <w:rFonts w:ascii="Garamond" w:hAnsi="Garamond"/>
          <w:color w:val="000000" w:themeColor="text1"/>
        </w:rPr>
        <w:t xml:space="preserve">  </w:t>
      </w:r>
    </w:p>
    <w:p w14:paraId="484C3102" w14:textId="749DAB21" w:rsidR="004910EF" w:rsidRDefault="00AF6117" w:rsidP="00852E4A">
      <w:pPr>
        <w:rPr>
          <w:rFonts w:ascii="Garamond" w:hAnsi="Garamond"/>
          <w:color w:val="000000" w:themeColor="text1"/>
        </w:rPr>
      </w:pPr>
      <w:r>
        <w:rPr>
          <w:rFonts w:ascii="Garamond" w:hAnsi="Garamond"/>
          <w:color w:val="000000" w:themeColor="text1"/>
        </w:rPr>
        <w:t xml:space="preserve"> </w:t>
      </w:r>
      <w:r w:rsidR="00947EAC">
        <w:rPr>
          <w:rFonts w:ascii="Garamond" w:hAnsi="Garamond"/>
          <w:color w:val="000000" w:themeColor="text1"/>
        </w:rPr>
        <w:t xml:space="preserve">Faire dans votre </w:t>
      </w:r>
      <w:r w:rsidR="00947EAC" w:rsidRPr="00947EAC">
        <w:rPr>
          <w:rFonts w:ascii="Garamond" w:hAnsi="Garamond"/>
          <w:color w:val="000000" w:themeColor="text1"/>
          <w:highlight w:val="cyan"/>
        </w:rPr>
        <w:t>carnet de bord</w:t>
      </w:r>
      <w:r w:rsidR="00947EAC">
        <w:rPr>
          <w:rFonts w:ascii="Garamond" w:hAnsi="Garamond"/>
          <w:color w:val="000000" w:themeColor="text1"/>
        </w:rPr>
        <w:t xml:space="preserve"> </w:t>
      </w:r>
      <w:r w:rsidR="00947EAC">
        <w:rPr>
          <w:rFonts w:ascii="Garamond" w:hAnsi="Garamond"/>
          <w:color w:val="000000" w:themeColor="text1"/>
        </w:rPr>
        <w:fldChar w:fldCharType="begin"/>
      </w:r>
      <w:r w:rsidR="00947EAC">
        <w:rPr>
          <w:rFonts w:ascii="Garamond" w:hAnsi="Garamond"/>
          <w:color w:val="000000" w:themeColor="text1"/>
        </w:rPr>
        <w:instrText xml:space="preserve"> HYPERLINK "https://www.pearltrees.com/private/id38916368/item345764796?paccess=17ec4ae49f8.149bf3bc.989e547a643451492c6d7be23b5f133c" </w:instrText>
      </w:r>
      <w:r w:rsidR="00947EAC">
        <w:rPr>
          <w:rFonts w:ascii="Garamond" w:hAnsi="Garamond"/>
          <w:color w:val="000000" w:themeColor="text1"/>
        </w:rPr>
      </w:r>
      <w:r w:rsidR="00947EAC">
        <w:rPr>
          <w:rFonts w:ascii="Garamond" w:hAnsi="Garamond"/>
          <w:color w:val="000000" w:themeColor="text1"/>
        </w:rPr>
        <w:fldChar w:fldCharType="separate"/>
      </w:r>
      <w:r w:rsidR="00947EAC" w:rsidRPr="00947EAC">
        <w:rPr>
          <w:rStyle w:val="Lienhypertexte"/>
          <w:rFonts w:ascii="Garamond" w:hAnsi="Garamond"/>
        </w:rPr>
        <w:t>un exercice pour préparer la prochaine séance</w:t>
      </w:r>
      <w:r w:rsidR="00947EAC">
        <w:rPr>
          <w:rFonts w:ascii="Garamond" w:hAnsi="Garamond"/>
          <w:color w:val="000000" w:themeColor="text1"/>
        </w:rPr>
        <w:fldChar w:fldCharType="end"/>
      </w:r>
      <w:r w:rsidR="00947EAC">
        <w:rPr>
          <w:rFonts w:ascii="Garamond" w:hAnsi="Garamond"/>
          <w:color w:val="000000" w:themeColor="text1"/>
        </w:rPr>
        <w:t xml:space="preserve"> </w:t>
      </w:r>
    </w:p>
    <w:p w14:paraId="7F8774C1" w14:textId="26E592AB" w:rsidR="00852E4A" w:rsidRPr="00D865CE" w:rsidRDefault="004910EF" w:rsidP="00852E4A">
      <w:pPr>
        <w:rPr>
          <w:rFonts w:ascii="Garamond" w:hAnsi="Garamond"/>
          <w:color w:val="000000" w:themeColor="text1"/>
        </w:rPr>
      </w:pPr>
      <w:r>
        <w:rPr>
          <w:rFonts w:ascii="Garamond" w:hAnsi="Garamond"/>
          <w:color w:val="000000" w:themeColor="text1"/>
        </w:rPr>
        <w:tab/>
      </w:r>
      <w:r w:rsidR="00852E4A">
        <w:rPr>
          <w:rFonts w:ascii="Garamond" w:hAnsi="Garamond"/>
          <w:color w:val="000000" w:themeColor="text1"/>
        </w:rPr>
        <w:t xml:space="preserve"> </w:t>
      </w:r>
    </w:p>
    <w:sectPr w:rsidR="00852E4A" w:rsidRPr="00D865CE" w:rsidSect="005C67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F5D"/>
    <w:multiLevelType w:val="multilevel"/>
    <w:tmpl w:val="37D8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933AA"/>
    <w:multiLevelType w:val="hybridMultilevel"/>
    <w:tmpl w:val="B42A2B8E"/>
    <w:lvl w:ilvl="0" w:tplc="040C0001">
      <w:start w:val="1"/>
      <w:numFmt w:val="bullet"/>
      <w:lvlText w:val=""/>
      <w:lvlJc w:val="left"/>
      <w:pPr>
        <w:ind w:left="1432" w:hanging="360"/>
      </w:pPr>
      <w:rPr>
        <w:rFonts w:ascii="Symbol" w:hAnsi="Symbol" w:hint="default"/>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abstractNum w:abstractNumId="2" w15:restartNumberingAfterBreak="0">
    <w:nsid w:val="679C08E7"/>
    <w:multiLevelType w:val="hybridMultilevel"/>
    <w:tmpl w:val="D6C4A3DE"/>
    <w:lvl w:ilvl="0" w:tplc="AC4673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4A"/>
    <w:rsid w:val="002D062A"/>
    <w:rsid w:val="004910EF"/>
    <w:rsid w:val="004E2147"/>
    <w:rsid w:val="0055074D"/>
    <w:rsid w:val="005C6737"/>
    <w:rsid w:val="00852E4A"/>
    <w:rsid w:val="00947EAC"/>
    <w:rsid w:val="00AF6117"/>
    <w:rsid w:val="00D865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27D988E"/>
  <w14:defaultImageDpi w14:val="32767"/>
  <w15:chartTrackingRefBased/>
  <w15:docId w15:val="{6D9C0318-F520-0C44-BA07-E5312100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52E4A"/>
    <w:rPr>
      <w:color w:val="0563C1" w:themeColor="hyperlink"/>
      <w:u w:val="single"/>
    </w:rPr>
  </w:style>
  <w:style w:type="character" w:styleId="Mentionnonrsolue">
    <w:name w:val="Unresolved Mention"/>
    <w:basedOn w:val="Policepardfaut"/>
    <w:uiPriority w:val="99"/>
    <w:rsid w:val="00852E4A"/>
    <w:rPr>
      <w:color w:val="605E5C"/>
      <w:shd w:val="clear" w:color="auto" w:fill="E1DFDD"/>
    </w:rPr>
  </w:style>
  <w:style w:type="paragraph" w:styleId="NormalWeb">
    <w:name w:val="Normal (Web)"/>
    <w:basedOn w:val="Normal"/>
    <w:uiPriority w:val="99"/>
    <w:semiHidden/>
    <w:unhideWhenUsed/>
    <w:rsid w:val="00AF6117"/>
    <w:pPr>
      <w:spacing w:before="100" w:beforeAutospacing="1" w:after="100" w:afterAutospacing="1"/>
    </w:pPr>
    <w:rPr>
      <w:rFonts w:ascii="Times New Roman" w:eastAsia="Times New Roman" w:hAnsi="Times New Roman" w:cs="Times New Roman"/>
      <w:lang w:eastAsia="fr-FR"/>
    </w:rPr>
  </w:style>
  <w:style w:type="paragraph" w:styleId="Paragraphedeliste">
    <w:name w:val="List Paragraph"/>
    <w:basedOn w:val="Normal"/>
    <w:uiPriority w:val="34"/>
    <w:qFormat/>
    <w:rsid w:val="002D062A"/>
    <w:pPr>
      <w:ind w:left="720"/>
      <w:contextualSpacing/>
    </w:pPr>
  </w:style>
  <w:style w:type="character" w:styleId="Lienhypertextesuivivisit">
    <w:name w:val="FollowedHyperlink"/>
    <w:basedOn w:val="Policepardfaut"/>
    <w:uiPriority w:val="99"/>
    <w:semiHidden/>
    <w:unhideWhenUsed/>
    <w:rsid w:val="00947E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121712">
      <w:bodyDiv w:val="1"/>
      <w:marLeft w:val="0"/>
      <w:marRight w:val="0"/>
      <w:marTop w:val="0"/>
      <w:marBottom w:val="0"/>
      <w:divBdr>
        <w:top w:val="none" w:sz="0" w:space="0" w:color="auto"/>
        <w:left w:val="none" w:sz="0" w:space="0" w:color="auto"/>
        <w:bottom w:val="none" w:sz="0" w:space="0" w:color="auto"/>
        <w:right w:val="none" w:sz="0" w:space="0" w:color="auto"/>
      </w:divBdr>
      <w:divsChild>
        <w:div w:id="2063405962">
          <w:marLeft w:val="0"/>
          <w:marRight w:val="0"/>
          <w:marTop w:val="0"/>
          <w:marBottom w:val="0"/>
          <w:divBdr>
            <w:top w:val="none" w:sz="0" w:space="0" w:color="auto"/>
            <w:left w:val="none" w:sz="0" w:space="0" w:color="auto"/>
            <w:bottom w:val="none" w:sz="0" w:space="0" w:color="auto"/>
            <w:right w:val="none" w:sz="0" w:space="0" w:color="auto"/>
          </w:divBdr>
          <w:divsChild>
            <w:div w:id="550382348">
              <w:marLeft w:val="0"/>
              <w:marRight w:val="0"/>
              <w:marTop w:val="0"/>
              <w:marBottom w:val="0"/>
              <w:divBdr>
                <w:top w:val="none" w:sz="0" w:space="0" w:color="auto"/>
                <w:left w:val="none" w:sz="0" w:space="0" w:color="auto"/>
                <w:bottom w:val="none" w:sz="0" w:space="0" w:color="auto"/>
                <w:right w:val="none" w:sz="0" w:space="0" w:color="auto"/>
              </w:divBdr>
              <w:divsChild>
                <w:div w:id="17118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wzUBROOMi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Z5hcdL8k8Is" TargetMode="External"/><Relationship Id="rId5" Type="http://schemas.openxmlformats.org/officeDocument/2006/relationships/hyperlink" Target="https://www.pearltrees.com/private/id38916368/item345602524?paccess=17ec47c2048.149979dc.27eaba5992c782136e57935db2686ed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343</Words>
  <Characters>1890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marchand</dc:creator>
  <cp:keywords/>
  <dc:description/>
  <cp:lastModifiedBy>Valérie marchand</cp:lastModifiedBy>
  <cp:revision>2</cp:revision>
  <dcterms:created xsi:type="dcterms:W3CDTF">2021-02-04T11:08:00Z</dcterms:created>
  <dcterms:modified xsi:type="dcterms:W3CDTF">2021-02-04T12:25:00Z</dcterms:modified>
</cp:coreProperties>
</file>